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1EE" w:rsidRPr="00FA71EE" w:rsidRDefault="00FA71EE" w:rsidP="00FA71EE">
      <w:pPr>
        <w:rPr>
          <w:sz w:val="28"/>
          <w:szCs w:val="28"/>
        </w:rPr>
      </w:pPr>
      <w:r w:rsidRPr="00FA71EE">
        <w:rPr>
          <w:sz w:val="28"/>
          <w:szCs w:val="28"/>
        </w:rPr>
        <w:t>Acute of structurele onveiligheid</w:t>
      </w:r>
    </w:p>
    <w:p w:rsidR="00FA71EE" w:rsidRPr="003A3021" w:rsidRDefault="00FA71EE" w:rsidP="00FA71EE">
      <w:pPr>
        <w:rPr>
          <w:b/>
        </w:rPr>
      </w:pPr>
      <w:r w:rsidRPr="003A3021">
        <w:rPr>
          <w:b/>
        </w:rPr>
        <w:t>Wat is acute onveiligheid?</w:t>
      </w:r>
    </w:p>
    <w:p w:rsidR="00FA71EE" w:rsidRDefault="00FA71EE" w:rsidP="00FA71EE">
      <w:bookmarkStart w:id="0" w:name="_GoBack"/>
      <w:bookmarkEnd w:id="0"/>
      <w:r w:rsidRPr="003A3021">
        <w:t xml:space="preserve">Een persoon is in direct fysiek gevaar, diens veiligheid is de komende dagen niet gegarandeerd en hij of zij heeft direct bescherming nodig. </w:t>
      </w:r>
    </w:p>
    <w:p w:rsidR="00FA71EE" w:rsidRDefault="00FA71EE" w:rsidP="00FA71EE">
      <w:r w:rsidRPr="003A3021">
        <w:t xml:space="preserve">Bij het afwegen van signalen van huiselijk geweld en/of kindermishandeling schat een beroepskracht allereerst en voortdurend in of een betrokkene acuut (levens)gevaar loopt. Dit betreft de aanwezigheid van fysiek of seksueel geweld (met of zonder letsel) of, in geval van zorgafhankelijke kinderen of (oudere) volwassenen, de áfwezigheid van de meest basale verzorging (waaronder eten, drinken, kleding en onderdak) maar bijvoorbeeld ook om het onnodig toedienen van medicijnen of het verrichten van onnodige zorg. </w:t>
      </w:r>
    </w:p>
    <w:p w:rsidR="00FA71EE" w:rsidRPr="003A3021" w:rsidRDefault="00FA71EE" w:rsidP="00FA71EE">
      <w:pPr>
        <w:rPr>
          <w:b/>
        </w:rPr>
      </w:pPr>
      <w:r w:rsidRPr="003A3021">
        <w:rPr>
          <w:b/>
        </w:rPr>
        <w:t xml:space="preserve">Voorbeelden van acute onveiligheid: </w:t>
      </w:r>
    </w:p>
    <w:p w:rsidR="00FA71EE" w:rsidRDefault="00FA71EE" w:rsidP="00FA71EE">
      <w:pPr>
        <w:pStyle w:val="Lijstalinea"/>
        <w:numPr>
          <w:ilvl w:val="0"/>
          <w:numId w:val="1"/>
        </w:numPr>
      </w:pPr>
      <w:r w:rsidRPr="003A3021">
        <w:t xml:space="preserve">Door geweld toegebrachte verwonding die medische behandeling behoeft. </w:t>
      </w:r>
    </w:p>
    <w:p w:rsidR="00FA71EE" w:rsidRDefault="00FA71EE" w:rsidP="00FA71EE">
      <w:pPr>
        <w:pStyle w:val="Lijstalinea"/>
        <w:numPr>
          <w:ilvl w:val="0"/>
          <w:numId w:val="1"/>
        </w:numPr>
      </w:pPr>
      <w:r w:rsidRPr="003A3021">
        <w:t xml:space="preserve">(Ernstig) letsel met een vermoeden dat dit is toegebracht, of een poging daartoe. </w:t>
      </w:r>
    </w:p>
    <w:p w:rsidR="00FA71EE" w:rsidRDefault="00FA71EE" w:rsidP="00FA71EE">
      <w:pPr>
        <w:pStyle w:val="Lijstalinea"/>
        <w:numPr>
          <w:ilvl w:val="0"/>
          <w:numId w:val="1"/>
        </w:numPr>
      </w:pPr>
      <w:r w:rsidRPr="003A3021">
        <w:t xml:space="preserve">Poging tot verwurging. </w:t>
      </w:r>
    </w:p>
    <w:p w:rsidR="00FA71EE" w:rsidRDefault="00FA71EE" w:rsidP="00FA71EE">
      <w:pPr>
        <w:pStyle w:val="Lijstalinea"/>
        <w:numPr>
          <w:ilvl w:val="0"/>
          <w:numId w:val="1"/>
        </w:numPr>
      </w:pPr>
      <w:r w:rsidRPr="003A3021">
        <w:t>Wapengebruik.</w:t>
      </w:r>
    </w:p>
    <w:p w:rsidR="00FA71EE" w:rsidRDefault="00FA71EE" w:rsidP="00FA71EE">
      <w:pPr>
        <w:pStyle w:val="Lijstalinea"/>
        <w:numPr>
          <w:ilvl w:val="0"/>
          <w:numId w:val="1"/>
        </w:numPr>
      </w:pPr>
      <w:r w:rsidRPr="003A3021">
        <w:t>Geweld tijdens de zwangerschap.</w:t>
      </w:r>
    </w:p>
    <w:p w:rsidR="00FA71EE" w:rsidRDefault="00FA71EE" w:rsidP="00FA71EE">
      <w:pPr>
        <w:pStyle w:val="Lijstalinea"/>
        <w:numPr>
          <w:ilvl w:val="0"/>
          <w:numId w:val="1"/>
        </w:numPr>
      </w:pPr>
      <w:r w:rsidRPr="003A3021">
        <w:t>(Vermoeden van) seksueel misbruik of seksueel geweld of seksuele exploitatie van kinderen jonger dan 18 jaar.</w:t>
      </w:r>
    </w:p>
    <w:p w:rsidR="00FA71EE" w:rsidRDefault="00FA71EE" w:rsidP="00FA71EE">
      <w:pPr>
        <w:pStyle w:val="Lijstalinea"/>
        <w:numPr>
          <w:ilvl w:val="0"/>
          <w:numId w:val="1"/>
        </w:numPr>
      </w:pPr>
      <w:r w:rsidRPr="003A3021">
        <w:t>Acute bedreiging om zichzelf of een naaste (waaronder (ex)-partner, kinderen of familielid) te doden, ernstig letsel toe te brengen of hun vrijheid te benemen (familiedrama, eerwraak, vrouwelijke genitale verminking).</w:t>
      </w:r>
    </w:p>
    <w:p w:rsidR="00FA71EE" w:rsidRDefault="00FA71EE" w:rsidP="00FA71EE">
      <w:pPr>
        <w:pStyle w:val="Lijstalinea"/>
        <w:numPr>
          <w:ilvl w:val="0"/>
          <w:numId w:val="1"/>
        </w:numPr>
      </w:pPr>
      <w:r w:rsidRPr="003A3021">
        <w:t>Onthouden van zorg die acuut de gezondheid bedreigt van -9 maanden tot + 100 jaar, waaronder het onthouden van voedsel.</w:t>
      </w:r>
    </w:p>
    <w:p w:rsidR="00FA71EE" w:rsidRDefault="00FA71EE" w:rsidP="00FA71EE">
      <w:pPr>
        <w:pStyle w:val="Lijstalinea"/>
        <w:numPr>
          <w:ilvl w:val="0"/>
          <w:numId w:val="1"/>
        </w:numPr>
      </w:pPr>
      <w:r w:rsidRPr="003A3021">
        <w:t>Als een ouder/verzorger (medische) klachten/aandoeningen bij een kind verzint/aandikt, (medische) onderzoeksgegevens betreffende bij het kind bestaande klachten en afwijkingen vervalst of in het kader van een onderzoek selectief verstrek of (medische) klachten en afwijkingen bij het kind daadwerkelijk veroorzaakt.</w:t>
      </w:r>
    </w:p>
    <w:p w:rsidR="00FA71EE" w:rsidRDefault="00FA71EE" w:rsidP="00FA71EE">
      <w:pPr>
        <w:pStyle w:val="Lijstalinea"/>
        <w:numPr>
          <w:ilvl w:val="0"/>
          <w:numId w:val="1"/>
        </w:numPr>
      </w:pPr>
      <w:proofErr w:type="spellStart"/>
      <w:r w:rsidRPr="003A3021">
        <w:t>Vrijheidbeperkende</w:t>
      </w:r>
      <w:proofErr w:type="spellEnd"/>
      <w:r w:rsidRPr="003A3021">
        <w:t xml:space="preserve"> maatregel voor pleger loopt af zonder dat er afdoende veiligheidsmaatregelen genomen zijn.</w:t>
      </w:r>
    </w:p>
    <w:p w:rsidR="00FA71EE" w:rsidRDefault="00FA71EE" w:rsidP="00FA71EE">
      <w:pPr>
        <w:pStyle w:val="Lijstalinea"/>
        <w:numPr>
          <w:ilvl w:val="0"/>
          <w:numId w:val="1"/>
        </w:numPr>
      </w:pPr>
      <w:r w:rsidRPr="003A3021">
        <w:t>Acuut onveilige situatie bestaat of zorg dreigt weg te vallen vanwege suïcidepoging, automutilatie, acuut psychiatrisch beeld, intoxicatie door alcohol of drugs.</w:t>
      </w:r>
    </w:p>
    <w:p w:rsidR="00FA71EE" w:rsidRDefault="00FA71EE" w:rsidP="00FA71EE">
      <w:pPr>
        <w:pStyle w:val="Lijstalinea"/>
        <w:numPr>
          <w:ilvl w:val="0"/>
          <w:numId w:val="1"/>
        </w:numPr>
      </w:pPr>
      <w:r w:rsidRPr="003A3021">
        <w:t>Noodgedwongen vlucht van huis door (dreiging van) huiselijk geweld en/of kindermishandeling.</w:t>
      </w:r>
    </w:p>
    <w:p w:rsidR="00FA71EE" w:rsidRDefault="00FA71EE" w:rsidP="00FA71EE">
      <w:pPr>
        <w:pStyle w:val="Lijstalinea"/>
        <w:numPr>
          <w:ilvl w:val="0"/>
          <w:numId w:val="1"/>
        </w:numPr>
      </w:pPr>
      <w:r>
        <w:t>E</w:t>
      </w:r>
      <w:r w:rsidRPr="003A3021">
        <w:t>en minderjarig kind dat alleen gelaten wordt in huis zonder toezicht e</w:t>
      </w:r>
      <w:r>
        <w:t xml:space="preserve">n verzorging van een volwassene. </w:t>
      </w:r>
    </w:p>
    <w:p w:rsidR="00FA71EE" w:rsidRDefault="00FA71EE" w:rsidP="00FA71EE">
      <w:pPr>
        <w:pStyle w:val="Lijstalinea"/>
        <w:numPr>
          <w:ilvl w:val="0"/>
          <w:numId w:val="1"/>
        </w:numPr>
      </w:pPr>
      <w:r w:rsidRPr="003A3021">
        <w:t>Minderjarigen die opgesloten worden in huis en onthouden worden van eten en drinken</w:t>
      </w:r>
      <w:r>
        <w:t>.</w:t>
      </w:r>
    </w:p>
    <w:p w:rsidR="00FA71EE" w:rsidRDefault="00FA71EE" w:rsidP="00FA71EE">
      <w:pPr>
        <w:pStyle w:val="Lijstalinea"/>
        <w:numPr>
          <w:ilvl w:val="0"/>
          <w:numId w:val="1"/>
        </w:numPr>
      </w:pPr>
      <w:r w:rsidRPr="003A3021">
        <w:t xml:space="preserve">Minderjarigen die met een alleenstaande ouder leven, waarbij deze </w:t>
      </w:r>
      <w:r>
        <w:t>ouder een acute psychose krijgt.</w:t>
      </w:r>
    </w:p>
    <w:p w:rsidR="00FA71EE" w:rsidRPr="003A3021" w:rsidRDefault="00FA71EE" w:rsidP="00FA71EE">
      <w:pPr>
        <w:rPr>
          <w:b/>
        </w:rPr>
      </w:pPr>
      <w:r w:rsidRPr="003A3021">
        <w:rPr>
          <w:b/>
        </w:rPr>
        <w:t>Wat is structurele onveiligheid?</w:t>
      </w:r>
    </w:p>
    <w:p w:rsidR="00FA71EE" w:rsidRDefault="00FA71EE" w:rsidP="00FA71EE">
      <w:r w:rsidRPr="003A3021">
        <w:t xml:space="preserve">Er is sprake van herhaling of voortduren van onveilige situaties of van geweld. </w:t>
      </w:r>
    </w:p>
    <w:p w:rsidR="00FA71EE" w:rsidRDefault="00FA71EE" w:rsidP="00FA71EE">
      <w:r w:rsidRPr="003A3021">
        <w:lastRenderedPageBreak/>
        <w:t>Een voorgeschiedenis van huiselijk geweld of kindermishandeling is de belangrijkste voorspeller voor voortduren van onveiligheid (</w:t>
      </w:r>
      <w:proofErr w:type="spellStart"/>
      <w:r w:rsidRPr="003A3021">
        <w:t>plegerschap</w:t>
      </w:r>
      <w:proofErr w:type="spellEnd"/>
      <w:r w:rsidRPr="003A3021">
        <w:t xml:space="preserve"> en slachtofferschap) in de toekomst. </w:t>
      </w:r>
    </w:p>
    <w:p w:rsidR="00FA71EE" w:rsidRPr="003A3021" w:rsidRDefault="00FA71EE" w:rsidP="00FA71EE">
      <w:pPr>
        <w:rPr>
          <w:b/>
        </w:rPr>
      </w:pPr>
      <w:r w:rsidRPr="003A3021">
        <w:rPr>
          <w:b/>
        </w:rPr>
        <w:t>Voorbeelden van structurele onveiligheid:</w:t>
      </w:r>
    </w:p>
    <w:p w:rsidR="00FA71EE" w:rsidRDefault="00FA71EE" w:rsidP="00FA71EE">
      <w:pPr>
        <w:pStyle w:val="Lijstalinea"/>
        <w:numPr>
          <w:ilvl w:val="0"/>
          <w:numId w:val="1"/>
        </w:numPr>
      </w:pPr>
      <w:r w:rsidRPr="003A3021">
        <w:t>Minderjarigen die opgroeien bij ouders met zodanig ernstige (psychosociale, relationele) problematiek ten gevolge van verstandelijke beperking, middelenverslaving, psychische problematiek dat de fysieke en emotionele veiligheid van het kind bij herhaling en/ of voortdurend wordt bedreigd en de ontwikkelmogelijkheden van deze minderjarigen structureel ingeperkt worden.</w:t>
      </w:r>
    </w:p>
    <w:p w:rsidR="00FA71EE" w:rsidRDefault="00FA71EE" w:rsidP="00FA71EE">
      <w:pPr>
        <w:pStyle w:val="Lijstalinea"/>
        <w:numPr>
          <w:ilvl w:val="0"/>
          <w:numId w:val="1"/>
        </w:numPr>
      </w:pPr>
      <w:r w:rsidRPr="003A3021">
        <w:t>Vergelijkbare situaties met kwetsbare ouderen en een mantelzorger.</w:t>
      </w:r>
    </w:p>
    <w:p w:rsidR="00FA71EE" w:rsidRDefault="00FA71EE" w:rsidP="00FA71EE">
      <w:pPr>
        <w:pStyle w:val="Lijstalinea"/>
        <w:numPr>
          <w:ilvl w:val="0"/>
          <w:numId w:val="1"/>
        </w:numPr>
      </w:pPr>
      <w:r w:rsidRPr="003A3021">
        <w:t>Ernstige verwaarlozing die voor jonge opgroeiende kinderen blijvende schade kan veroorzaken.</w:t>
      </w:r>
    </w:p>
    <w:p w:rsidR="00FA71EE" w:rsidRDefault="00FA71EE" w:rsidP="00FA71EE">
      <w:pPr>
        <w:pStyle w:val="Lijstalinea"/>
        <w:numPr>
          <w:ilvl w:val="0"/>
          <w:numId w:val="1"/>
        </w:numPr>
      </w:pPr>
      <w:r w:rsidRPr="003A3021">
        <w:t xml:space="preserve">Escalerende vormen van </w:t>
      </w:r>
      <w:proofErr w:type="spellStart"/>
      <w:r w:rsidRPr="003A3021">
        <w:t>stalking</w:t>
      </w:r>
      <w:proofErr w:type="spellEnd"/>
      <w:r w:rsidRPr="003A3021">
        <w:t xml:space="preserve"> in partnerrelaties.</w:t>
      </w:r>
    </w:p>
    <w:p w:rsidR="00FA71EE" w:rsidRDefault="00FA71EE" w:rsidP="00FA71EE">
      <w:pPr>
        <w:pStyle w:val="Lijstalinea"/>
        <w:numPr>
          <w:ilvl w:val="0"/>
          <w:numId w:val="1"/>
        </w:numPr>
      </w:pPr>
      <w:r w:rsidRPr="003A3021">
        <w:t>Minderjarige die geregeld getuige is van huiselijk geweld tussen ouders.</w:t>
      </w:r>
    </w:p>
    <w:p w:rsidR="00FA71EE" w:rsidRDefault="00FA71EE" w:rsidP="00FA71EE">
      <w:pPr>
        <w:pStyle w:val="Lijstalinea"/>
        <w:numPr>
          <w:ilvl w:val="0"/>
          <w:numId w:val="1"/>
        </w:numPr>
      </w:pPr>
      <w:r w:rsidRPr="003A3021">
        <w:t>Minderjarigen die een hoog schoolverzuim hebben.</w:t>
      </w:r>
    </w:p>
    <w:p w:rsidR="00FA71EE" w:rsidRDefault="00FA71EE" w:rsidP="00FA71EE">
      <w:pPr>
        <w:pStyle w:val="Lijstalinea"/>
        <w:numPr>
          <w:ilvl w:val="0"/>
          <w:numId w:val="1"/>
        </w:numPr>
      </w:pPr>
      <w:r w:rsidRPr="003A3021">
        <w:t>Minderjarigen die geregeld fysiek mishandel worden.</w:t>
      </w:r>
    </w:p>
    <w:p w:rsidR="00FA71EE" w:rsidRPr="003A3021" w:rsidRDefault="00FA71EE" w:rsidP="00FA71EE">
      <w:pPr>
        <w:rPr>
          <w:b/>
        </w:rPr>
      </w:pPr>
      <w:r w:rsidRPr="003A3021">
        <w:rPr>
          <w:b/>
        </w:rPr>
        <w:t xml:space="preserve">Wat is </w:t>
      </w:r>
      <w:proofErr w:type="spellStart"/>
      <w:r w:rsidRPr="003A3021">
        <w:rPr>
          <w:b/>
        </w:rPr>
        <w:t>disclosure</w:t>
      </w:r>
      <w:proofErr w:type="spellEnd"/>
      <w:r w:rsidRPr="003A3021">
        <w:rPr>
          <w:b/>
        </w:rPr>
        <w:t>?</w:t>
      </w:r>
    </w:p>
    <w:p w:rsidR="00FA71EE" w:rsidRDefault="00FA71EE" w:rsidP="00FA71EE">
      <w:r w:rsidRPr="003A3021">
        <w:t>Slachtoffers die uit zichzelf een beroepskracht om hulp vragen of zich uiten bij (mogelijk) huiselijk g</w:t>
      </w:r>
      <w:r>
        <w:t>eweld en/of kindermishandeling.</w:t>
      </w:r>
    </w:p>
    <w:p w:rsidR="00FA71EE" w:rsidRDefault="00FA71EE" w:rsidP="00FA71EE">
      <w:r w:rsidRPr="003A3021">
        <w:t>Als een slachtoffer, kind of volwassene, uit zichzelf een beroepskracht om hulp vraagt bij huiselijk geweld en/of kindermishandeling of zich hierover uit zonder hulp te vragen, betekent dit veelal dat het (minderjarige) slachtoffer een acute crisis ervaart en vreest voor de veiligheid en/of het welzijn van zichzelf of gezinsleden. Het met onvoldoende voorbereiding met de ouders/verzorgers bespreken van de (door het slachtoffer) geuite zorgen kan leiden tot (verergering van) situaties van acute of structurele onveiligheid. Dit geldt uitdrukkelijk ook voor specifieke vormen van huiselijk geweld zoals (ex)</w:t>
      </w:r>
      <w:proofErr w:type="spellStart"/>
      <w:r w:rsidRPr="003A3021">
        <w:t>partnerstalking</w:t>
      </w:r>
      <w:proofErr w:type="spellEnd"/>
      <w:r w:rsidRPr="003A3021">
        <w:t xml:space="preserve">, huwelijksdwang, mensenhandel, </w:t>
      </w:r>
      <w:proofErr w:type="spellStart"/>
      <w:r w:rsidRPr="003A3021">
        <w:t>eergerelateerd</w:t>
      </w:r>
      <w:proofErr w:type="spellEnd"/>
      <w:r w:rsidRPr="003A3021">
        <w:t xml:space="preserve"> geweld en oudermishandeling. </w:t>
      </w:r>
    </w:p>
    <w:p w:rsidR="00FA71EE" w:rsidRDefault="00FA71EE" w:rsidP="00FA71EE">
      <w:r w:rsidRPr="003A3021">
        <w:t>Een professionelen norm tot melden betekent in dit geval zorgvuldige afstemming over de vervolgacties tussen de beroepskracht, Veilig Thuis en het slachtoffer. Bij de keuze voor wel/niet melden staat de veiligheid van het slachtoffer altijd voorop.</w:t>
      </w:r>
    </w:p>
    <w:p w:rsidR="008D228A" w:rsidRDefault="008D228A"/>
    <w:sectPr w:rsidR="008D22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F272FD"/>
    <w:multiLevelType w:val="hybridMultilevel"/>
    <w:tmpl w:val="5CDAA57A"/>
    <w:lvl w:ilvl="0" w:tplc="FCEA5EB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1EE"/>
    <w:rsid w:val="008D228A"/>
    <w:rsid w:val="00FA71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D8422"/>
  <w15:chartTrackingRefBased/>
  <w15:docId w15:val="{27315902-E476-4432-98AF-0253694F5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A71EE"/>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A71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3890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termeulen</dc:creator>
  <cp:keywords/>
  <dc:description/>
  <cp:lastModifiedBy>m termeulen</cp:lastModifiedBy>
  <cp:revision>1</cp:revision>
  <dcterms:created xsi:type="dcterms:W3CDTF">2018-12-22T14:49:00Z</dcterms:created>
  <dcterms:modified xsi:type="dcterms:W3CDTF">2018-12-22T14:50:00Z</dcterms:modified>
</cp:coreProperties>
</file>